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71D" w:rsidRPr="0081571D" w:rsidRDefault="00343275" w:rsidP="0081571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71D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proofErr w:type="gramStart"/>
      <w:r w:rsidRPr="0081571D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 w:rsidRPr="0081571D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343275" w:rsidRPr="0081571D" w:rsidRDefault="0081571D" w:rsidP="0081571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71D">
        <w:rPr>
          <w:rFonts w:ascii="Times New Roman" w:hAnsi="Times New Roman" w:cs="Times New Roman"/>
          <w:b/>
          <w:sz w:val="28"/>
          <w:szCs w:val="28"/>
        </w:rPr>
        <w:t xml:space="preserve">«Развитие жилищно-коммунального комплекса и повышение энергетической эффективности </w:t>
      </w:r>
      <w:proofErr w:type="gramStart"/>
      <w:r w:rsidRPr="0081571D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1571D">
        <w:rPr>
          <w:rFonts w:ascii="Times New Roman" w:hAnsi="Times New Roman" w:cs="Times New Roman"/>
          <w:b/>
          <w:sz w:val="28"/>
          <w:szCs w:val="28"/>
        </w:rPr>
        <w:t>Нижневартовском</w:t>
      </w:r>
      <w:proofErr w:type="gramEnd"/>
      <w:r w:rsidRPr="0081571D">
        <w:rPr>
          <w:rFonts w:ascii="Times New Roman" w:hAnsi="Times New Roman" w:cs="Times New Roman"/>
          <w:b/>
          <w:sz w:val="28"/>
          <w:szCs w:val="28"/>
        </w:rPr>
        <w:t xml:space="preserve"> районе в 2018–2025 годах и на период до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571D">
        <w:rPr>
          <w:rFonts w:ascii="Times New Roman" w:hAnsi="Times New Roman" w:cs="Times New Roman"/>
          <w:b/>
          <w:sz w:val="28"/>
          <w:szCs w:val="28"/>
        </w:rPr>
        <w:t>2030 года »</w:t>
      </w:r>
    </w:p>
    <w:p w:rsidR="00343275" w:rsidRPr="0081571D" w:rsidRDefault="00343275" w:rsidP="0081571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1" w:type="dxa"/>
        <w:jc w:val="center"/>
        <w:tblLook w:val="04A0"/>
      </w:tblPr>
      <w:tblGrid>
        <w:gridCol w:w="3683"/>
        <w:gridCol w:w="283"/>
        <w:gridCol w:w="5635"/>
      </w:tblGrid>
      <w:tr w:rsidR="00343275" w:rsidRPr="0081571D" w:rsidTr="00BC038B">
        <w:trPr>
          <w:jc w:val="center"/>
        </w:trPr>
        <w:tc>
          <w:tcPr>
            <w:tcW w:w="3683" w:type="dxa"/>
            <w:hideMark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proofErr w:type="gram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  <w:proofErr w:type="gramEnd"/>
          </w:p>
        </w:tc>
        <w:tc>
          <w:tcPr>
            <w:tcW w:w="283" w:type="dxa"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«Развитие жилищно-коммунального комплекса и повышение энергетической эффективности вНижневартовском районе в 2018–2025 годах и на период до2030 года »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</w:p>
        </w:tc>
      </w:tr>
      <w:tr w:rsidR="00343275" w:rsidRPr="0081571D" w:rsidTr="00BC038B">
        <w:trPr>
          <w:jc w:val="center"/>
        </w:trPr>
        <w:tc>
          <w:tcPr>
            <w:tcW w:w="3683" w:type="dxa"/>
            <w:hideMark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283" w:type="dxa"/>
            <w:hideMark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5635" w:type="dxa"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отдел жилищно-коммунального хозяйства, энергетики и строительства администрации района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</w:p>
        </w:tc>
      </w:tr>
      <w:tr w:rsidR="00343275" w:rsidRPr="0081571D" w:rsidTr="00BC038B">
        <w:trPr>
          <w:jc w:val="center"/>
        </w:trPr>
        <w:tc>
          <w:tcPr>
            <w:tcW w:w="3683" w:type="dxa"/>
            <w:hideMark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283" w:type="dxa"/>
            <w:hideMark/>
          </w:tcPr>
          <w:p w:rsidR="00343275" w:rsidRPr="0081571D" w:rsidRDefault="00343275" w:rsidP="0081571D">
            <w:pPr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по застройке Нижневартовского района»;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городских и сельских поселений района;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управление организации деятельности администрации района</w:t>
            </w:r>
          </w:p>
        </w:tc>
      </w:tr>
      <w:tr w:rsidR="00343275" w:rsidRPr="0081571D" w:rsidTr="00BC038B">
        <w:trPr>
          <w:jc w:val="center"/>
        </w:trPr>
        <w:tc>
          <w:tcPr>
            <w:tcW w:w="3683" w:type="dxa"/>
            <w:hideMark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hideMark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5635" w:type="dxa"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275" w:rsidRPr="0081571D" w:rsidTr="00BC038B">
        <w:trPr>
          <w:jc w:val="center"/>
        </w:trPr>
        <w:tc>
          <w:tcPr>
            <w:tcW w:w="3683" w:type="dxa"/>
            <w:hideMark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283" w:type="dxa"/>
            <w:hideMark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5635" w:type="dxa"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повышение надежности и качества предоставления жилищно-коммунальных услуг;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повышение эффективности использования топливно-энергетических ресурсов;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повышение уровня благоустройства территории городских и сельских поселений района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43275" w:rsidRPr="0081571D" w:rsidTr="00BC038B">
        <w:trPr>
          <w:trHeight w:val="1992"/>
          <w:jc w:val="center"/>
        </w:trPr>
        <w:tc>
          <w:tcPr>
            <w:tcW w:w="3683" w:type="dxa"/>
            <w:hideMark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283" w:type="dxa"/>
            <w:hideMark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5635" w:type="dxa"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обеспечение условий для выполнения полномочий по предоставлению качественных коммунальных услуг;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повышение энергетической эффективности при производстве и передаче энергетических ресурсов;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повышение уровня благоустройства дворовых территорий городских и сельских поселений район</w:t>
            </w:r>
          </w:p>
        </w:tc>
      </w:tr>
      <w:tr w:rsidR="00343275" w:rsidRPr="0081571D" w:rsidTr="00BC038B">
        <w:trPr>
          <w:jc w:val="center"/>
        </w:trPr>
        <w:tc>
          <w:tcPr>
            <w:tcW w:w="3683" w:type="dxa"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Подпрограммы и (или) основные мероприятия муниципальной программы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283" w:type="dxa"/>
            <w:hideMark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5635" w:type="dxa"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I «Создание условий для обеспечения качественными коммунальными услугами»; 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II «Обеспечение равных прав потребителей на получение энергетических </w:t>
            </w:r>
            <w:r w:rsidRPr="008157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ресурсов»;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подпрограмма III «Повышение энергоэффективности в отраслях экономики»;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подпрограмма IV «Создание условий для выполнения функций, возложенных на муниципальное казенное учреждение «Управление капитального строительства по застройке Нижневартовского района»;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подпрограмма V «Формирование комфортной городской среды»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</w:p>
        </w:tc>
      </w:tr>
      <w:tr w:rsidR="00343275" w:rsidRPr="0081571D" w:rsidTr="00BC038B">
        <w:trPr>
          <w:jc w:val="center"/>
        </w:trPr>
        <w:tc>
          <w:tcPr>
            <w:tcW w:w="3683" w:type="dxa"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показатели </w:t>
            </w:r>
            <w:proofErr w:type="gram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hideMark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5635" w:type="dxa"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образования, ‒ 100%;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образования, ‒ с 61,00% до 62,00%;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‒ до 28,3%;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‒ до 61,9%;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образования, ‒ 0% (целевой показатель равен нулю ввиду того, что Нижневартовский район не газифицирован);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доля объема энергетических ресурсов, производимых с использованием возобновляемых источников энергии и (или) </w:t>
            </w:r>
            <w:r w:rsidRPr="008157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вторичных энергетических ресурсов, в общем объеме энергетических ресурсов, производимых на территории муниципального образования, ‒ до 5,5%;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расход электрической энергии на снабжение муниципальных бюджетных учреждений (в расчете на 1 человека) ‒ с 86,53кВт </w:t>
            </w:r>
            <w:proofErr w:type="gram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 до 82,28 кВт ч;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удельный расход тепловой энергии на снабжение муниципальных бюджетных учреждений (в расчете на 1 кв. метр общей площади) ‒ с 0,14 Гкал до 0,132 Гкал;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расход холодной воды на снабжение муниципальных бюджетных учреждений (в расчете на 1 человека) ‒ с 1,43 куб. </w:t>
            </w:r>
            <w:proofErr w:type="gram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 до 1,42 куб. м;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расход горячей воды на снабжение муниципальных бюджетных учреждений (в расчете на 1 человека) ‒ с 0,031 куб. </w:t>
            </w:r>
            <w:proofErr w:type="gram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 до 0,03 куб. м;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расход природного газа на снабжение муниципальных бюджетных учреждений (в расчете на 1 человека) ‒ 0 куб. </w:t>
            </w:r>
            <w:proofErr w:type="gram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/чел.;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spell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энергосервисных</w:t>
            </w:r>
            <w:proofErr w:type="spellEnd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 договоров (контрактов), заключенных органами местного самоуправления и муниципальными учреждениями, ‒ 0 шт.; 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экономии энергетических ресурсов и воды в стоимостном выражении, достижение которой планируется в результате реализации </w:t>
            </w:r>
            <w:proofErr w:type="spell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энергосервисных</w:t>
            </w:r>
            <w:proofErr w:type="spellEnd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 контрактов (договоров), заключенных муниципальными бюджетными учреждениями, к общему объему финансирования муниципальной программы ‒ 0%;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расход электрической энергии в многоквартирных домах (в расчете на 1 кв. метр общей площади) ‒ с 742,5 кВт </w:t>
            </w:r>
            <w:proofErr w:type="gram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 до 705 кВт ч;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расход тепловой энергии в многоквартирных домах (в расчете на 1 кв. м общей площади) ‒ с 0,11 Гкал до 0,103 Гкал; 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расход холодной воды в </w:t>
            </w:r>
            <w:r w:rsidRPr="008157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многоквартирных домах (в расчете на 1 человека) ‒ с 13,0 куб. </w:t>
            </w:r>
            <w:proofErr w:type="gram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 до 12,22 куб. м;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расход горячей воды в многоквартирных домах (в расчете на 1 человека) ‒ с 6,3 куб. </w:t>
            </w:r>
            <w:proofErr w:type="gram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 до 5,931 куб. м;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расход природного газа в многоквартирных домах с индивидуальными системами газового отопления (в расчете на 1 кв. м общей площади) ‒ 0 тыс. куб. м/кв. м; 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удельный расход природного газа в многоквартирных домах с иными системами теплоснабжения (в расчете на 1 человека) ‒ 0 тыс. куб. м/чел.;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суммарный расход энергетических ресурсов в многоквартирных домах ‒ с 0,536 </w:t>
            </w:r>
            <w:proofErr w:type="spell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т.у.т</w:t>
            </w:r>
            <w:proofErr w:type="spellEnd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./кв. м до 0,509 </w:t>
            </w:r>
            <w:proofErr w:type="spell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т.у.т</w:t>
            </w:r>
            <w:proofErr w:type="spellEnd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./кв. м;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расход топлива на выработку тепловой энергии на котельных ‒ с 174,2 </w:t>
            </w:r>
            <w:proofErr w:type="spell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т.у.т</w:t>
            </w:r>
            <w:proofErr w:type="spellEnd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. до 170,1 </w:t>
            </w:r>
            <w:proofErr w:type="spell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т.у.</w:t>
            </w:r>
            <w:proofErr w:type="gram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proofErr w:type="gramEnd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расход электрической энергии, используемой при передаче тепловой энергии в системах теплоснабжения ‒ с 0,7896 тыс. кВт </w:t>
            </w:r>
            <w:proofErr w:type="gram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/тыс. куб. м до 0,789 тыс. кВт ч/тыс. куб. м;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метр), ‒ с 1,332 тыс. кВт*</w:t>
            </w:r>
            <w:proofErr w:type="gram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/тыс. куб. м до 1,3 тыс. кВт*ч/тыс. куб. м;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удельный расход электрической энергии, используемой в системах водоотведения (на 1 куб. метр), ‒ с 2,138 тыс. кВт*</w:t>
            </w:r>
            <w:proofErr w:type="gram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/тыс. куб. м до 2,1 тыс. кВт*ч/тыс. куб. м;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удельный расход электрической энергии в системах уличного освещения (на 1 кв. метр освещаемой площади с уровнем освещенности, соответствующим установленным нормативам), ‒ с 1,87 кВт*</w:t>
            </w:r>
            <w:proofErr w:type="gram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/кв. м до 1,87 кВт*ч/кв. м;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повышение обеспеченности населения централизованными услугами водоснабжения ‒ с 91,2% до 93,2%;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обеспеченности населения централизованными услугами </w:t>
            </w:r>
            <w:r w:rsidRPr="008157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теплоснабжения ‒ с 92,0% до 93,9%;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удельный вес проб воды, не отвечающих гигиеническим нормативам: по санитарно-химическим показателям ‒ с 32,8% до 4,0%;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доля уличной водопроводной сети, нуждающейся в замене, ‒ с 20% до 5,4%;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доля уличной тепловой сети, нуждающейся в замене, ‒ с 26,7% до 9,2%;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доля сточных вод, очищенных до нормативных значений, в общем объеме сточных вод, пропущенных через очистные сооружения, ‒ с 78,9% до 97,8%;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доля потерь воды при ее передаче в общем объеме переданной воды ‒ с 13,6% до 8,0%;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доля потерь тепловой энергии при ее передаче в общем объеме переданной тепловой энергии ‒ с 13,9% до 7,8%;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уровень газификации котельных ‒ с 30,8% до 69%;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доля площади жилищного фонда, обеспеченного всеми видами благоустройства, в общей площади жилищного фонда ‒ с 65,8% до 78,0%;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доля систем коммунальной инфраструктуры и иных объектов коммунального хозяйства государственных и муниципальных предприятий, осуществляющих неэффективное управление, переданных частным операторам на основе концессионных соглашений в соответствии с графиками, актуализированными на основании проведенного анализа эффективности управления – с  0% до 100 %;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дворовых территорий многоквартирных домов – с 2 ед. до 59 ед.;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мест общего пользования – с 3 ед. до 37 ед.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3275" w:rsidRPr="0081571D" w:rsidTr="00BC038B">
        <w:trPr>
          <w:trHeight w:val="852"/>
          <w:jc w:val="center"/>
        </w:trPr>
        <w:tc>
          <w:tcPr>
            <w:tcW w:w="3683" w:type="dxa"/>
            <w:hideMark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Финансовое обеспечение </w:t>
            </w:r>
            <w:proofErr w:type="gramStart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81571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283" w:type="dxa"/>
          </w:tcPr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5635" w:type="dxa"/>
          </w:tcPr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общий объем финансирования </w:t>
            </w:r>
            <w:proofErr w:type="gramStart"/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муниципальной</w:t>
            </w:r>
            <w:proofErr w:type="gramEnd"/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программы в 2018–2030 годах составит 1 127 537,40 тыс. рублей, в том числе: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2018 году – 156 133,90 тыс. руб.;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в 2019 году – 127 021,40 тыс. руб.;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2020 году – 137 082,10 тыс. руб.;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2021 году – 70 730,00 тыс. руб.;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2022 году – 70 730,00 тыс. руб.;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2023 году – 70 730,00 тыс. руб.;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2024 году – 70 730,00 тыс. руб.;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2025 году – 70 730,00 тыс. руб.;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2026 – 2030 годы – 353 650,00 тыс. руб.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pacing w:val="-5"/>
                <w:sz w:val="28"/>
                <w:szCs w:val="28"/>
                <w:lang w:eastAsia="ar-SA"/>
              </w:rPr>
              <w:t>из них: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pacing w:val="-5"/>
                <w:sz w:val="28"/>
                <w:szCs w:val="28"/>
                <w:lang w:eastAsia="ar-SA"/>
              </w:rPr>
              <w:t>за счет средств бюджета округа: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2018 году – 1 009,70 тыс. руб.;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pacing w:val="-5"/>
                <w:sz w:val="28"/>
                <w:szCs w:val="28"/>
                <w:lang w:eastAsia="ar-SA"/>
              </w:rPr>
              <w:t>за счет средств бюджета округа: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2018 году – 67 712,60 тыс. руб.;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2019 году – 56 235,80 тыс. руб.;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2020 году – 66 352,10 тыс. руб.;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района: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2018 году – 87 411,60 тыс. руб.;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2019 году – 70 785,60 тыс. руб.;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2020 году – 70 730,00 тыс. руб.;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2021 году – 70 730,00 тыс. руб.;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2022 году – 70 730,00 тыс. руб.;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2023 году – 70 730,00 тыс. руб.;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2024 году – 70 730,00 тыс. руб.;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2025 году – 70 730,00 тыс. руб.;</w:t>
            </w:r>
          </w:p>
          <w:p w:rsidR="00343275" w:rsidRPr="0081571D" w:rsidRDefault="00343275" w:rsidP="0081571D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157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2026 – 2030 годы – 353 650,00 тыс. руб.</w:t>
            </w:r>
          </w:p>
          <w:p w:rsidR="00343275" w:rsidRPr="0081571D" w:rsidRDefault="00343275" w:rsidP="0081571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FF4E33" w:rsidRPr="0081571D" w:rsidRDefault="00FF4E33" w:rsidP="0081571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FF4E33" w:rsidRPr="0081571D" w:rsidSect="006C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FF4E33"/>
    <w:rsid w:val="002211EC"/>
    <w:rsid w:val="002D0BA7"/>
    <w:rsid w:val="00343275"/>
    <w:rsid w:val="003774AF"/>
    <w:rsid w:val="005873B6"/>
    <w:rsid w:val="0081571D"/>
    <w:rsid w:val="008955B9"/>
    <w:rsid w:val="00AC0874"/>
    <w:rsid w:val="00BA59E9"/>
    <w:rsid w:val="00F84CF6"/>
    <w:rsid w:val="00F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E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2</cp:revision>
  <cp:lastPrinted>2017-08-13T12:35:00Z</cp:lastPrinted>
  <dcterms:created xsi:type="dcterms:W3CDTF">2017-10-30T12:07:00Z</dcterms:created>
  <dcterms:modified xsi:type="dcterms:W3CDTF">2017-10-30T12:07:00Z</dcterms:modified>
</cp:coreProperties>
</file>